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Программа проведения проверок квалификации «ГАЗ ПРИРОДНЫЙ, ГАЗ СЖИЖЕННЫЙ УГЛЕВОДОРОДНЫЙ», реализуемая посредством проведения межлабораторных сравнительных испытаний в 2024 году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выполнения и порядок организации работ для объектов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Layout w:type="fixed"/>
        <w:tblLook w:val="0400"/>
      </w:tblPr>
      <w:tblGrid>
        <w:gridCol w:w="1985"/>
        <w:gridCol w:w="6946"/>
        <w:gridCol w:w="1841"/>
        <w:tblGridChange w:id="0">
          <w:tblGrid>
            <w:gridCol w:w="1985"/>
            <w:gridCol w:w="6946"/>
            <w:gridCol w:w="18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Объект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проведения раунда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Тип программы*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Раунд 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Газ горючий природный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 мере набора участников, минимум 5 участников. 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Крайний срок подачи заявок – июль 2024 г.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Срок получения образца и проведения испытаний – сентябрь - ноябрь 2024 г.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Предоставление заключений участникам – декабрь 2024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последовательная и 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Газ сжиженный углеводородный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 мере набора участников, минимум 5 участников. 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Крайний срок подачи заявок – июль 2024 г.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Срок получения образца и проведения испытаний – сентябрь - ноябрь 2024 г.</w:t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Предоставление заключений участникам – декабрь 2024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последовательная и параллельная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 при параллельной программе каждому участнику направляется индивидуальный набор образцов. </w:t>
        <w:br w:type="textWrapping"/>
        <w:t xml:space="preserve">При последовательной программе образец направляется последовательно от участника к участнику. Перевозку организует Провайдер. Образец рассчитан на весь раунд.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Особенности последовательной схемы проверки квалификации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Программа проверки квалификации по последовательной схеме предполагает отправку Провайдером образца проверки квалификации от одного участника к другому.  На испытания каждому участнику дается 3 дня. По окончании испытаний участник должен упаковать образец и обеспечить возможность забора образца транспортной компанией, привлекаемой Провайдером. Получение и подготовка к отправке образца должны проводится в срок, не превышающий 2 дня.</w:t>
      </w:r>
    </w:p>
    <w:p w:rsidR="00000000" w:rsidDel="00000000" w:rsidP="00000000" w:rsidRDefault="00000000" w:rsidRPr="00000000" w14:paraId="00000019">
      <w:pPr>
        <w:spacing w:after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Особенности программы проверки квалификации «Газ горючий природный»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Образцы проверки квалификации представляют газовую смесью определенного состава в баллонах в сжатом виде. Не допускается проведение испытаний в количестве большем, чем необходимо для получения результата согласно методике испытаний. Участник должен вернуть баллоны Провайдеру после проведения испытаний в целости и сохранности. Вывоз баллона осуществляет Провайдер.   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Особенности программы проверки квалификации «Газ сжиженный углеводородный»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Образцы проверки квалификации представляют газовую смесью определенного состава в баллонах в сжатом или сниженном виде. Образцы могут комплектоваться дополнительными устройствами и материалами. Не допускается проведение испытаний в количестве большем, чем необходимо для получения результата согласно методике испытаний. От участника может потребоваться осуществить отбор пробы в пробоотборник согласно инструкции к образцу.  Участник должен вернуть Провайдеру образец после проведения испытаний в целости и сохранности, а также в том составе, котором получил его. Вывоз образца осуществляет Провайдер.  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26"/>
        </w:tabs>
        <w:spacing w:line="36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КОНТАКТЫ</w:t>
      </w:r>
    </w:p>
    <w:tbl>
      <w:tblPr>
        <w:tblStyle w:val="Table2"/>
        <w:tblW w:w="84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04"/>
        <w:gridCol w:w="4649"/>
        <w:tblGridChange w:id="0">
          <w:tblGrid>
            <w:gridCol w:w="3804"/>
            <w:gridCol w:w="464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Координатор </w:t>
              <w:br w:type="textWrapping"/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Программа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Юлия Борисовна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МОРГАЛЮК 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563c1"/>
                <w:u w:val="single"/>
                <w:rtl w:val="0"/>
              </w:rPr>
              <w:t xml:space="preserve">MorgalyukUB@gso.ru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+7 (812) 655-09-19 (доб. 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Газ горючий природный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Газ сжиженный углеводородный 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leader="none" w:pos="426"/>
        </w:tabs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426"/>
        </w:tabs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67" w:firstLine="0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АНКЕТА УЧАСТНИКА ПРОГРАММЫ 2024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22050" y="3590219"/>
                          <a:ext cx="2247900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Заполненную анкету направлять на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электронную почту: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msi@gso.ru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3890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По программе        </w:t>
      </w:r>
      <w:r w:rsidDel="00000000" w:rsidR="00000000" w:rsidRPr="00000000">
        <w:rPr>
          <w:rFonts w:ascii="Arial" w:cs="Arial" w:eastAsia="Arial" w:hAnsi="Arial"/>
          <w:i w:val="1"/>
          <w:color w:val="bfbfbf"/>
          <w:sz w:val="18"/>
          <w:szCs w:val="18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6"/>
        <w:gridCol w:w="653"/>
        <w:gridCol w:w="4733"/>
        <w:tblGridChange w:id="0">
          <w:tblGrid>
            <w:gridCol w:w="5386"/>
            <w:gridCol w:w="653"/>
            <w:gridCol w:w="473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название юридического лица </w:t>
              <w:br w:type="textWrapping"/>
              <w:t xml:space="preserve">согласно выписки ЕГРЮЛ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и должность</w:t>
              <w:br w:type="textWrapping"/>
              <w:t xml:space="preserve">руководителя юридического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6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              действует на основании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A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ИНН/ОКПО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КПП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ОГРН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БИК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р/сч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к/сч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Юридический адрес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Почтовый адрес (для обмена фин. документами)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F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доставки образцов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4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Моб.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телефон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принимающего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9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контактного лица в лаборатории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</w:t>
              <w:br w:type="textWrapping"/>
              <w:t xml:space="preserve">(как треб. в Свидетельстве участника)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наим. лаборатории / организации 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(как треб. в Свидетельстве участника)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6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Номер аттестата аккредитации лаборатории (если аккредитована)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A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руководителя лаборатории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E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Телефон / факс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                    /   + 7 (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Электронная почта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Договор </w:t>
            </w:r>
            <w:r w:rsidDel="00000000" w:rsidR="00000000" w:rsidRPr="00000000">
              <w:rPr>
                <w:i w:val="1"/>
                <w:rtl w:val="0"/>
              </w:rPr>
              <w:t xml:space="preserve">заключается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через котировки, тендер? (если да, то на каком сайте)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4467478" y="3409160"/>
                                <a:ext cx="1757045" cy="741680"/>
                              </a:xfrm>
                              <a:prstGeom prst="arc">
                                <a:avLst>
                                  <a:gd fmla="val 16200000" name="adj1"/>
                                  <a:gd fmla="val 21197959" name="adj2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6570" cy="751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02925" y="3670463"/>
                          <a:ext cx="3486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Подпись руководителя лаборатории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bfbfbf"/>
                                <w:sz w:val="16"/>
                                <w:vertAlign w:val="baseline"/>
                              </w:rPr>
                              <w:t xml:space="preserve">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50650" y="3650604"/>
                          <a:ext cx="1790700" cy="2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16"/>
                                <w:vertAlign w:val="baseline"/>
                              </w:rPr>
                              <w:t xml:space="preserve">На эти чекбоксы можно нажать!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268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ind w:left="-851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ЗАЯВКА НА УЧАСТИЕ В 2024 ГОДУ </w:t>
      </w:r>
    </w:p>
    <w:p w:rsidR="00000000" w:rsidDel="00000000" w:rsidP="00000000" w:rsidRDefault="00000000" w:rsidRPr="00000000" w14:paraId="0000008E">
      <w:pPr>
        <w:ind w:left="-851" w:firstLine="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ГАЗ ГОРЮЧИЙ ПРИРОДНЫЙ </w:t>
      </w:r>
    </w:p>
    <w:tbl>
      <w:tblPr>
        <w:tblStyle w:val="Table4"/>
        <w:tblW w:w="10772.0" w:type="dxa"/>
        <w:jc w:val="left"/>
        <w:tblBorders>
          <w:top w:color="bfbfbf" w:space="0" w:sz="4" w:val="single"/>
          <w:bottom w:color="bfbfbf" w:space="0" w:sz="4" w:val="single"/>
          <w:right w:color="000000" w:space="0" w:sz="4" w:val="single"/>
          <w:insideH w:color="bfbfbf" w:space="0" w:sz="4" w:val="single"/>
        </w:tblBorders>
        <w:tblLayout w:type="fixed"/>
        <w:tblLook w:val="0400"/>
      </w:tblPr>
      <w:tblGrid>
        <w:gridCol w:w="828"/>
        <w:gridCol w:w="3567"/>
        <w:gridCol w:w="1559"/>
        <w:gridCol w:w="1338"/>
        <w:gridCol w:w="1544"/>
        <w:gridCol w:w="419"/>
        <w:gridCol w:w="1517"/>
        <w:tblGridChange w:id="0">
          <w:tblGrid>
            <w:gridCol w:w="828"/>
            <w:gridCol w:w="3567"/>
            <w:gridCol w:w="1559"/>
            <w:gridCol w:w="1338"/>
            <w:gridCol w:w="1544"/>
            <w:gridCol w:w="419"/>
            <w:gridCol w:w="151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 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094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Объем образца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ГП01-1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76" w:lineRule="auto"/>
              <w:ind w:left="-42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сероводорода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1-50 мг/м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159 500</w:t>
              <w:br w:type="textWrapping"/>
              <w:t xml:space="preserve">(319 000**)</w:t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Баллон (пробоотборник) не менее 1 дм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концентрация меркаптанов: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1-50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метилмеркаптан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этилмеркаптан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пропилмеркаптан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изопропилмеркаптан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втор-Бутилмеркаптан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трет-Бутилмеркаптан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изобутилмеркаптан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бутилмеркаптан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концентрация карбонилсульфида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1-50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концентрация меркаптановой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1-500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концентрация общей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1-1000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ГП01-2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сероводорода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1-50 мг/м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71 500 </w:t>
              <w:br w:type="textWrapping"/>
              <w:t xml:space="preserve">(143 000**)</w:t>
            </w:r>
          </w:p>
          <w:p w:rsidR="00000000" w:rsidDel="00000000" w:rsidP="00000000" w:rsidRDefault="00000000" w:rsidRPr="00000000" w14:paraId="000000F8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leader="none" w:pos="1560"/>
              </w:tabs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Баллон (пробоотборник) не менее 1 дм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концентрация меркаптанов: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метилмеркаптан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1-50 мг/м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этилмеркаптан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1-50 мг/м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ГП02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Компонентный состав: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82 500</w:t>
              <w:br w:type="textWrapping"/>
              <w:t xml:space="preserve">(308 000**)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Баллон (пробоотборник) не менее 1 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гелий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0,001-0,5 %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водород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0,001-0,5 %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кислород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0,005-2,0 %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азот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0,005-15,0 %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диоксид углерода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0,005-10,0 %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этан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0,001-15 %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пропан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0,005-6,0 %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изобутан (2-метилпропан)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0,001-4,0 %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бутан, н-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0,001-4,0 %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неопентан (2,2-диметилпропан)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0,0005-0,05 %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изопентан (2-метилбутан)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0,001-2,0 %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пентан, н-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0,001-4,0 %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гексан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0,001-1,0 %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бензол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0,001-0,05 %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гептан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0,001-0,25 %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толуол (метилбензол)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0,001-0,05 %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октан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0,001-0,05 %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метан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40-99,97 %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ГП3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Теплота сгорания (расчетное значение)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(3 – 75) МДж/м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(716 - 17 912) ккал/м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55 000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(204 600**)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leader="none" w:pos="1560"/>
              </w:tabs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Баллон (пробоотборник) не менее 1 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C">
            <w:pPr>
              <w:tabs>
                <w:tab w:val="left" w:leader="none" w:pos="1560"/>
              </w:tabs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Число Воббе при стандартных условиях (расчетное значение)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(25-100) МДж/м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(5970 - 23 883) ккал/м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4">
            <w:pPr>
              <w:tabs>
                <w:tab w:val="left" w:leader="none" w:pos="1560"/>
              </w:tabs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Абсолютная плотность при стандартных условиях (расчетное значение)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0,10-4,00 кг/м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A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C">
            <w:pPr>
              <w:tabs>
                <w:tab w:val="left" w:leader="none" w:pos="1560"/>
              </w:tabs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Относительная плотность при стандартных условиях (расчетное значение)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0,08-3,37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4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расходы.</w:t>
      </w:r>
    </w:p>
    <w:p w:rsidR="00000000" w:rsidDel="00000000" w:rsidP="00000000" w:rsidRDefault="00000000" w:rsidRPr="00000000" w14:paraId="000001B7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при получении участником индивидуального образца с калибровочным баллоном.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ГАЗ СЖИЖЕННЫЙ УГЛЕВОДОРОДНЫЙ</w:t>
      </w:r>
    </w:p>
    <w:tbl>
      <w:tblPr>
        <w:tblStyle w:val="Table5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28"/>
        <w:gridCol w:w="3566"/>
        <w:gridCol w:w="1560"/>
        <w:gridCol w:w="1229"/>
        <w:gridCol w:w="1642"/>
        <w:gridCol w:w="420"/>
        <w:gridCol w:w="1527"/>
        <w:tblGridChange w:id="0">
          <w:tblGrid>
            <w:gridCol w:w="828"/>
            <w:gridCol w:w="3566"/>
            <w:gridCol w:w="1560"/>
            <w:gridCol w:w="1229"/>
            <w:gridCol w:w="1642"/>
            <w:gridCol w:w="420"/>
            <w:gridCol w:w="152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76" w:lineRule="auto"/>
              <w:ind w:right="-141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 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1BD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Объем образца** и тип программы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СУГ01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сероводорода и меркаптановой серы, в том числе сероводорода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0,0001 - 2 %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162 800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Баллон (пробоотборник) 1** 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6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Параллельная программа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СУГ02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Компонентный состав: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170 500</w:t>
            </w:r>
          </w:p>
          <w:p w:rsidR="00000000" w:rsidDel="00000000" w:rsidP="00000000" w:rsidRDefault="00000000" w:rsidRPr="00000000" w14:paraId="000001CD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tabs>
                <w:tab w:val="left" w:leader="none" w:pos="1560"/>
              </w:tabs>
              <w:spacing w:after="0" w:line="276" w:lineRule="auto"/>
              <w:rPr>
                <w:rFonts w:ascii="Arial" w:cs="Arial" w:eastAsia="Arial" w:hAnsi="Arial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Баллон (пробоотборник) не менее 0,4** 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tabs>
                <w:tab w:val="left" w:leader="none" w:pos="1560"/>
              </w:tabs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Последовательная программа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2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метан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0,005-2,0 %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этан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0,005-2,0 %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этен (этилен)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0,005-2,0 %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пропан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0,01-99,98 %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пропен (пропилен)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0,005-1,0 %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изобутан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0,01-99,98 %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транс-бутен-2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0,1-70,0 %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бутен-1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0,1-70,0 %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76" w:lineRule="auto"/>
              <w:ind w:left="-4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изобутен (изобутилен)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0,1-70,0 %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н-бутан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0,01-99,98 %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и-пентан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0,01-6,0 %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н-пентан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0,01-6,0 %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паров, избыточное (расчетное значение по ГОСТ 28656):</w:t>
            </w:r>
          </w:p>
          <w:p w:rsidR="00000000" w:rsidDel="00000000" w:rsidP="00000000" w:rsidRDefault="00000000" w:rsidRPr="00000000" w14:paraId="00000229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при температуре 45 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0,001-2,0 Мпа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Октановое число (расчетное)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60-110 ед. 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Плотность при 20°С (расчетное)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400-800 кг/м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СУГ03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Содержание свободной воды и щелочи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Отсутствует / присутствует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151 800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tabs>
                <w:tab w:val="left" w:leader="none" w:pos="1560"/>
              </w:tabs>
              <w:spacing w:after="0" w:line="276" w:lineRule="auto"/>
              <w:rPr>
                <w:rFonts w:ascii="Arial" w:cs="Arial" w:eastAsia="Arial" w:hAnsi="Arial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Баллон (пробоотборник) не менее 1 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tabs>
                <w:tab w:val="left" w:leader="none" w:pos="1560"/>
              </w:tabs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Параллельная программа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Объемная доля жидкого остатка при 20 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0,5-2,0 %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76" w:lineRule="auto"/>
              <w:ind w:left="-4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Запах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Отсутствует / присутствует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расходы.</w:t>
      </w:r>
    </w:p>
    <w:p w:rsidR="00000000" w:rsidDel="00000000" w:rsidP="00000000" w:rsidRDefault="00000000" w:rsidRPr="00000000" w14:paraId="00000255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дополнительное количество образца оплачивается кратно запрошенному объему.</w:t>
      </w:r>
    </w:p>
    <w:sectPr>
      <w:headerReference r:id="rId10" w:type="default"/>
      <w:footerReference r:id="rId11" w:type="default"/>
      <w:pgSz w:h="16838" w:w="11906" w:orient="portrait"/>
      <w:pgMar w:bottom="567" w:top="567" w:left="567" w:right="567" w:header="56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78"/>
      <w:gridCol w:w="5694"/>
      <w:tblGridChange w:id="0">
        <w:tblGrid>
          <w:gridCol w:w="5078"/>
          <w:gridCol w:w="569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2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00451" cy="360541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51" cy="3605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6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667"/>
      <w:gridCol w:w="5105"/>
      <w:tblGridChange w:id="0">
        <w:tblGrid>
          <w:gridCol w:w="5667"/>
          <w:gridCol w:w="51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2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302818" cy="392243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818" cy="3922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Ежегодная программа проведения </w:t>
          </w:r>
        </w:p>
        <w:p w:rsidR="00000000" w:rsidDel="00000000" w:rsidP="00000000" w:rsidRDefault="00000000" w:rsidRPr="00000000" w14:paraId="000002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проверок квалификации в 2024 году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